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5668" w:rsidRDefault="00695668" w:rsidP="00695668">
      <w:pPr>
        <w:spacing w:before="100" w:beforeAutospacing="1" w:after="100" w:afterAutospacing="1" w:line="480" w:lineRule="auto"/>
        <w:jc w:val="center"/>
        <w:rPr>
          <w:rFonts w:ascii="Times New Roman" w:hAnsi="Times New Roman" w:cs="Times New Roman"/>
          <w:b/>
          <w:sz w:val="24"/>
          <w:szCs w:val="24"/>
        </w:rPr>
      </w:pPr>
    </w:p>
    <w:p w:rsidR="00695668" w:rsidRDefault="00695668" w:rsidP="00695668">
      <w:pPr>
        <w:spacing w:before="100" w:beforeAutospacing="1" w:after="100" w:afterAutospacing="1" w:line="480" w:lineRule="auto"/>
        <w:jc w:val="center"/>
        <w:rPr>
          <w:rFonts w:ascii="Times New Roman" w:hAnsi="Times New Roman" w:cs="Times New Roman"/>
          <w:b/>
          <w:sz w:val="24"/>
          <w:szCs w:val="24"/>
        </w:rPr>
      </w:pPr>
    </w:p>
    <w:p w:rsidR="00695668" w:rsidRDefault="00695668" w:rsidP="00695668">
      <w:pPr>
        <w:spacing w:before="100" w:beforeAutospacing="1" w:after="100" w:afterAutospacing="1" w:line="480" w:lineRule="auto"/>
        <w:jc w:val="center"/>
        <w:rPr>
          <w:rFonts w:ascii="Times New Roman" w:hAnsi="Times New Roman" w:cs="Times New Roman"/>
          <w:b/>
          <w:sz w:val="24"/>
          <w:szCs w:val="24"/>
        </w:rPr>
      </w:pPr>
    </w:p>
    <w:p w:rsidR="00695668" w:rsidRDefault="00695668" w:rsidP="00695668">
      <w:pPr>
        <w:spacing w:before="100" w:beforeAutospacing="1" w:after="100" w:afterAutospacing="1" w:line="480" w:lineRule="auto"/>
        <w:jc w:val="center"/>
        <w:rPr>
          <w:rFonts w:ascii="Times New Roman" w:hAnsi="Times New Roman" w:cs="Times New Roman"/>
          <w:b/>
          <w:sz w:val="24"/>
          <w:szCs w:val="24"/>
        </w:rPr>
      </w:pPr>
    </w:p>
    <w:p w:rsidR="00695668" w:rsidRDefault="00695668" w:rsidP="00695668">
      <w:pPr>
        <w:spacing w:before="100" w:beforeAutospacing="1" w:after="100" w:afterAutospacing="1" w:line="480" w:lineRule="auto"/>
        <w:jc w:val="center"/>
        <w:rPr>
          <w:rFonts w:ascii="Times New Roman" w:hAnsi="Times New Roman" w:cs="Times New Roman"/>
          <w:b/>
          <w:sz w:val="24"/>
          <w:szCs w:val="24"/>
        </w:rPr>
      </w:pPr>
    </w:p>
    <w:p w:rsidR="00695668" w:rsidRDefault="00695668" w:rsidP="00695668">
      <w:pPr>
        <w:spacing w:before="100" w:beforeAutospacing="1" w:after="100" w:afterAutospacing="1" w:line="480" w:lineRule="auto"/>
        <w:jc w:val="center"/>
        <w:rPr>
          <w:rFonts w:ascii="Times New Roman" w:hAnsi="Times New Roman" w:cs="Times New Roman"/>
          <w:b/>
          <w:sz w:val="24"/>
          <w:szCs w:val="24"/>
        </w:rPr>
      </w:pPr>
    </w:p>
    <w:p w:rsidR="00695668" w:rsidRDefault="00695668" w:rsidP="00695668">
      <w:pPr>
        <w:spacing w:before="100" w:beforeAutospacing="1" w:after="100" w:afterAutospacing="1" w:line="480" w:lineRule="auto"/>
        <w:jc w:val="center"/>
        <w:rPr>
          <w:rFonts w:ascii="Times New Roman" w:hAnsi="Times New Roman" w:cs="Times New Roman"/>
          <w:b/>
          <w:sz w:val="24"/>
          <w:szCs w:val="24"/>
        </w:rPr>
      </w:pPr>
    </w:p>
    <w:p w:rsidR="00695668" w:rsidRDefault="00695668" w:rsidP="00695668">
      <w:pPr>
        <w:spacing w:before="100" w:beforeAutospacing="1" w:after="100" w:afterAutospacing="1" w:line="480" w:lineRule="auto"/>
        <w:jc w:val="center"/>
        <w:rPr>
          <w:rFonts w:ascii="Times New Roman" w:hAnsi="Times New Roman" w:cs="Times New Roman"/>
          <w:b/>
          <w:sz w:val="24"/>
          <w:szCs w:val="24"/>
        </w:rPr>
      </w:pPr>
    </w:p>
    <w:p w:rsidR="00695668" w:rsidRDefault="00695668" w:rsidP="00695668">
      <w:pPr>
        <w:pStyle w:val="Header"/>
        <w:spacing w:before="100" w:beforeAutospacing="1" w:after="100" w:afterAutospacing="1" w:line="480" w:lineRule="auto"/>
        <w:jc w:val="center"/>
        <w:rPr>
          <w:rFonts w:ascii="Times New Roman" w:hAnsi="Times New Roman" w:cs="Times New Roman"/>
          <w:sz w:val="24"/>
          <w:szCs w:val="24"/>
        </w:rPr>
      </w:pPr>
      <w:r w:rsidRPr="00695668">
        <w:rPr>
          <w:rFonts w:ascii="Times New Roman" w:hAnsi="Times New Roman" w:cs="Times New Roman"/>
          <w:sz w:val="24"/>
          <w:szCs w:val="24"/>
        </w:rPr>
        <w:t>HEART RATE VARIABILITY BEFORE THE ONSET OF VENTRICULAR TACHYCARDIA</w:t>
      </w:r>
    </w:p>
    <w:p w:rsidR="00695668" w:rsidRDefault="00695668" w:rsidP="00695668">
      <w:pPr>
        <w:pStyle w:val="Heade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695668" w:rsidRDefault="00695668" w:rsidP="00695668">
      <w:pPr>
        <w:pStyle w:val="Heade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695668" w:rsidRDefault="00695668" w:rsidP="00695668">
      <w:pPr>
        <w:pStyle w:val="Heade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95668" w:rsidRDefault="00695668" w:rsidP="00695668">
      <w:pPr>
        <w:pStyle w:val="Header"/>
        <w:spacing w:before="100" w:beforeAutospacing="1" w:after="100" w:afterAutospacing="1" w:line="480" w:lineRule="auto"/>
        <w:jc w:val="center"/>
        <w:rPr>
          <w:rFonts w:ascii="Times New Roman" w:hAnsi="Times New Roman" w:cs="Times New Roman"/>
          <w:sz w:val="24"/>
          <w:szCs w:val="24"/>
        </w:rPr>
      </w:pPr>
    </w:p>
    <w:p w:rsidR="00695668" w:rsidRDefault="00695668" w:rsidP="00695668">
      <w:pPr>
        <w:pStyle w:val="Header"/>
        <w:spacing w:before="100" w:beforeAutospacing="1" w:after="100" w:afterAutospacing="1" w:line="480" w:lineRule="auto"/>
        <w:jc w:val="center"/>
        <w:rPr>
          <w:rFonts w:ascii="Times New Roman" w:hAnsi="Times New Roman" w:cs="Times New Roman"/>
          <w:sz w:val="24"/>
          <w:szCs w:val="24"/>
        </w:rPr>
      </w:pPr>
    </w:p>
    <w:p w:rsidR="00695668" w:rsidRDefault="00695668" w:rsidP="00695668">
      <w:pPr>
        <w:pStyle w:val="Header"/>
        <w:spacing w:before="100" w:beforeAutospacing="1" w:after="100" w:afterAutospacing="1" w:line="480" w:lineRule="auto"/>
        <w:jc w:val="center"/>
        <w:rPr>
          <w:rFonts w:ascii="Times New Roman" w:hAnsi="Times New Roman" w:cs="Times New Roman"/>
          <w:sz w:val="24"/>
          <w:szCs w:val="24"/>
        </w:rPr>
      </w:pPr>
    </w:p>
    <w:p w:rsidR="00695668" w:rsidRPr="00695668" w:rsidRDefault="00695668" w:rsidP="00695668">
      <w:pPr>
        <w:pStyle w:val="Header"/>
        <w:spacing w:before="100" w:beforeAutospacing="1" w:after="100" w:afterAutospacing="1" w:line="480" w:lineRule="auto"/>
        <w:jc w:val="center"/>
        <w:rPr>
          <w:rFonts w:ascii="Times New Roman" w:hAnsi="Times New Roman" w:cs="Times New Roman"/>
          <w:sz w:val="24"/>
          <w:szCs w:val="24"/>
        </w:rPr>
      </w:pPr>
    </w:p>
    <w:p w:rsidR="00D17000" w:rsidRPr="00695668" w:rsidRDefault="000A1236" w:rsidP="00695668">
      <w:pPr>
        <w:spacing w:before="100" w:beforeAutospacing="1" w:after="100" w:afterAutospacing="1" w:line="480" w:lineRule="auto"/>
        <w:jc w:val="center"/>
        <w:rPr>
          <w:rFonts w:ascii="Times New Roman" w:hAnsi="Times New Roman" w:cs="Times New Roman"/>
          <w:b/>
          <w:sz w:val="24"/>
          <w:szCs w:val="24"/>
        </w:rPr>
      </w:pPr>
      <w:r w:rsidRPr="00695668">
        <w:rPr>
          <w:rFonts w:ascii="Times New Roman" w:hAnsi="Times New Roman" w:cs="Times New Roman"/>
          <w:b/>
          <w:sz w:val="24"/>
          <w:szCs w:val="24"/>
        </w:rPr>
        <w:t>Introduction</w:t>
      </w:r>
    </w:p>
    <w:p w:rsidR="002569FB" w:rsidRPr="00695668" w:rsidRDefault="000A1236" w:rsidP="00695668">
      <w:pPr>
        <w:spacing w:before="100" w:beforeAutospacing="1" w:after="100" w:afterAutospacing="1" w:line="480" w:lineRule="auto"/>
        <w:ind w:firstLine="720"/>
        <w:rPr>
          <w:rFonts w:ascii="Times New Roman" w:hAnsi="Times New Roman" w:cs="Times New Roman"/>
          <w:sz w:val="24"/>
          <w:szCs w:val="24"/>
        </w:rPr>
      </w:pPr>
      <w:r w:rsidRPr="00695668">
        <w:rPr>
          <w:rFonts w:ascii="Times New Roman" w:hAnsi="Times New Roman" w:cs="Times New Roman"/>
          <w:sz w:val="24"/>
          <w:szCs w:val="24"/>
        </w:rPr>
        <w:t xml:space="preserve">This research paper was purposed at establishing whether heart rate variability (HRV) can be an onset sign of ventricular tachycardia </w:t>
      </w:r>
      <w:r w:rsidR="002569FB" w:rsidRPr="00695668">
        <w:rPr>
          <w:rFonts w:ascii="Times New Roman" w:hAnsi="Times New Roman" w:cs="Times New Roman"/>
          <w:sz w:val="24"/>
          <w:szCs w:val="24"/>
        </w:rPr>
        <w:t xml:space="preserve">(VT) hence foretell cases of slow and acute VT in patients with an implantable cardioverter defibrillator (ICD). </w:t>
      </w:r>
      <w:r w:rsidR="007D4882" w:rsidRPr="00695668">
        <w:rPr>
          <w:rFonts w:ascii="Times New Roman" w:hAnsi="Times New Roman" w:cs="Times New Roman"/>
          <w:sz w:val="24"/>
          <w:szCs w:val="24"/>
        </w:rPr>
        <w:t>The hypothesis of the</w:t>
      </w:r>
      <w:r w:rsidR="002569FB" w:rsidRPr="00695668">
        <w:rPr>
          <w:rFonts w:ascii="Times New Roman" w:hAnsi="Times New Roman" w:cs="Times New Roman"/>
          <w:sz w:val="24"/>
          <w:szCs w:val="24"/>
        </w:rPr>
        <w:t xml:space="preserve"> study was that VT can be p</w:t>
      </w:r>
      <w:r w:rsidR="007D4882" w:rsidRPr="00695668">
        <w:rPr>
          <w:rFonts w:ascii="Times New Roman" w:hAnsi="Times New Roman" w:cs="Times New Roman"/>
          <w:sz w:val="24"/>
          <w:szCs w:val="24"/>
        </w:rPr>
        <w:t>redicted by RR-interval analy</w:t>
      </w:r>
      <w:r w:rsidR="002569FB" w:rsidRPr="00695668">
        <w:rPr>
          <w:rFonts w:ascii="Times New Roman" w:hAnsi="Times New Roman" w:cs="Times New Roman"/>
          <w:sz w:val="24"/>
          <w:szCs w:val="24"/>
        </w:rPr>
        <w:t>sis</w:t>
      </w:r>
      <w:r w:rsidR="007D4882" w:rsidRPr="00695668">
        <w:rPr>
          <w:rFonts w:ascii="Times New Roman" w:hAnsi="Times New Roman" w:cs="Times New Roman"/>
          <w:sz w:val="24"/>
          <w:szCs w:val="24"/>
        </w:rPr>
        <w:t>.</w:t>
      </w:r>
    </w:p>
    <w:p w:rsidR="002569FB" w:rsidRPr="00695668" w:rsidRDefault="002569FB" w:rsidP="00695668">
      <w:pPr>
        <w:spacing w:before="100" w:beforeAutospacing="1" w:after="100" w:afterAutospacing="1" w:line="480" w:lineRule="auto"/>
        <w:jc w:val="center"/>
        <w:rPr>
          <w:rFonts w:ascii="Times New Roman" w:hAnsi="Times New Roman" w:cs="Times New Roman"/>
          <w:b/>
          <w:sz w:val="24"/>
          <w:szCs w:val="24"/>
        </w:rPr>
      </w:pPr>
      <w:r w:rsidRPr="00695668">
        <w:rPr>
          <w:rFonts w:ascii="Times New Roman" w:hAnsi="Times New Roman" w:cs="Times New Roman"/>
          <w:b/>
          <w:sz w:val="24"/>
          <w:szCs w:val="24"/>
        </w:rPr>
        <w:t>D</w:t>
      </w:r>
      <w:r w:rsidR="007D4882" w:rsidRPr="00695668">
        <w:rPr>
          <w:rFonts w:ascii="Times New Roman" w:hAnsi="Times New Roman" w:cs="Times New Roman"/>
          <w:b/>
          <w:sz w:val="24"/>
          <w:szCs w:val="24"/>
        </w:rPr>
        <w:t>iscussion</w:t>
      </w:r>
    </w:p>
    <w:p w:rsidR="007D4882" w:rsidRPr="00695668" w:rsidRDefault="007D4882" w:rsidP="00695668">
      <w:pPr>
        <w:spacing w:before="100" w:beforeAutospacing="1" w:after="100" w:afterAutospacing="1" w:line="480" w:lineRule="auto"/>
        <w:ind w:firstLine="720"/>
        <w:rPr>
          <w:rFonts w:ascii="Times New Roman" w:hAnsi="Times New Roman" w:cs="Times New Roman"/>
          <w:sz w:val="24"/>
          <w:szCs w:val="24"/>
        </w:rPr>
      </w:pPr>
      <w:r w:rsidRPr="00695668">
        <w:rPr>
          <w:rFonts w:ascii="Times New Roman" w:hAnsi="Times New Roman" w:cs="Times New Roman"/>
          <w:sz w:val="24"/>
          <w:szCs w:val="24"/>
        </w:rPr>
        <w:t xml:space="preserve">The research dwelt on ICD stored beat-to-beat intervals prior to 131 VT epics and at 74 control intervals with no VT in 63 ICD patients of Franz-Volhard-Hospital with acute congestive heart failure. </w:t>
      </w:r>
    </w:p>
    <w:p w:rsidR="004122CA" w:rsidRPr="00695668" w:rsidRDefault="00EF25E8" w:rsidP="00695668">
      <w:pPr>
        <w:spacing w:before="100" w:beforeAutospacing="1" w:after="100" w:afterAutospacing="1" w:line="480" w:lineRule="auto"/>
        <w:ind w:firstLine="720"/>
        <w:rPr>
          <w:rFonts w:ascii="Times New Roman" w:hAnsi="Times New Roman" w:cs="Times New Roman"/>
          <w:sz w:val="24"/>
          <w:szCs w:val="24"/>
        </w:rPr>
      </w:pPr>
      <w:r w:rsidRPr="00695668">
        <w:rPr>
          <w:rFonts w:ascii="Times New Roman" w:hAnsi="Times New Roman" w:cs="Times New Roman"/>
          <w:sz w:val="24"/>
          <w:szCs w:val="24"/>
        </w:rPr>
        <w:t>From the research, it is found that there are significant differences in the dynamic behavior of beat-to-beat intervals between the VT and control time series by means of dynamics that are non-linear. Polvar10 and Fitgra9 were in</w:t>
      </w:r>
      <w:bookmarkStart w:id="0" w:name="_GoBack"/>
      <w:bookmarkEnd w:id="0"/>
      <w:r w:rsidRPr="00695668">
        <w:rPr>
          <w:rFonts w:ascii="Times New Roman" w:hAnsi="Times New Roman" w:cs="Times New Roman"/>
          <w:sz w:val="24"/>
          <w:szCs w:val="24"/>
        </w:rPr>
        <w:t xml:space="preserve">dications of increase in short phases having congestive heart failure patients with low variability. This means that the short-term loss of variability precedes early signs of VT. Makikallio and Skinner estimated parameters of nonlinear dynamics in the event of </w:t>
      </w:r>
      <w:r w:rsidR="004122CA" w:rsidRPr="00695668">
        <w:rPr>
          <w:rFonts w:ascii="Times New Roman" w:hAnsi="Times New Roman" w:cs="Times New Roman"/>
          <w:sz w:val="24"/>
          <w:szCs w:val="24"/>
        </w:rPr>
        <w:t xml:space="preserve">Holter monitoring in post myocardial infarction patients further ascertaining the results of this research finding (Berger et al., 1988). Some qualitative finding that had been done prior to this research were confirmed under this </w:t>
      </w:r>
      <w:r w:rsidR="009A1D14" w:rsidRPr="00695668">
        <w:rPr>
          <w:rFonts w:ascii="Times New Roman" w:hAnsi="Times New Roman" w:cs="Times New Roman"/>
          <w:sz w:val="24"/>
          <w:szCs w:val="24"/>
        </w:rPr>
        <w:t xml:space="preserve">particular one. For instance, Nemec’s et al. increase in heart rate before the start of the VT, quoted by </w:t>
      </w:r>
      <w:r w:rsidR="009A1D14" w:rsidRPr="00695668">
        <w:rPr>
          <w:rFonts w:ascii="Times New Roman" w:hAnsi="Times New Roman" w:cs="Times New Roman"/>
          <w:sz w:val="24"/>
          <w:szCs w:val="24"/>
        </w:rPr>
        <w:t>Lombardi</w:t>
      </w:r>
      <w:r w:rsidR="009A1D14" w:rsidRPr="00695668">
        <w:rPr>
          <w:rFonts w:ascii="Times New Roman" w:hAnsi="Times New Roman" w:cs="Times New Roman"/>
          <w:sz w:val="24"/>
          <w:szCs w:val="24"/>
        </w:rPr>
        <w:t xml:space="preserve"> et al., (2000). </w:t>
      </w:r>
    </w:p>
    <w:p w:rsidR="009A1D14" w:rsidRPr="00695668" w:rsidRDefault="009A1D14" w:rsidP="00695668">
      <w:pPr>
        <w:spacing w:before="100" w:beforeAutospacing="1" w:after="100" w:afterAutospacing="1" w:line="480" w:lineRule="auto"/>
        <w:ind w:firstLine="720"/>
        <w:rPr>
          <w:rFonts w:ascii="Times New Roman" w:hAnsi="Times New Roman" w:cs="Times New Roman"/>
          <w:sz w:val="24"/>
          <w:szCs w:val="24"/>
        </w:rPr>
      </w:pPr>
      <w:r w:rsidRPr="00695668">
        <w:rPr>
          <w:rFonts w:ascii="Times New Roman" w:hAnsi="Times New Roman" w:cs="Times New Roman"/>
          <w:sz w:val="24"/>
          <w:szCs w:val="24"/>
        </w:rPr>
        <w:lastRenderedPageBreak/>
        <w:t xml:space="preserve">Further, the research found a significant RR-interval difference before signs of slow and fast VT. </w:t>
      </w:r>
      <w:r w:rsidR="007B097D" w:rsidRPr="00695668">
        <w:rPr>
          <w:rFonts w:ascii="Times New Roman" w:hAnsi="Times New Roman" w:cs="Times New Roman"/>
          <w:sz w:val="24"/>
          <w:szCs w:val="24"/>
        </w:rPr>
        <w:t>A</w:t>
      </w:r>
      <w:r w:rsidRPr="00695668">
        <w:rPr>
          <w:rFonts w:ascii="Times New Roman" w:hAnsi="Times New Roman" w:cs="Times New Roman"/>
          <w:sz w:val="24"/>
          <w:szCs w:val="24"/>
        </w:rPr>
        <w:t xml:space="preserve"> feature of a slow VT included increased heart rate </w:t>
      </w:r>
      <w:r w:rsidR="007B097D" w:rsidRPr="00695668">
        <w:rPr>
          <w:rFonts w:ascii="Times New Roman" w:hAnsi="Times New Roman" w:cs="Times New Roman"/>
          <w:sz w:val="24"/>
          <w:szCs w:val="24"/>
        </w:rPr>
        <w:t xml:space="preserve">when compared to a control case in times series. Using linear HRV parameters, no difference was seen between slow VT and control time series. These methods, however, identified differences in data sets with Polvar10 and Fitgra9. </w:t>
      </w:r>
    </w:p>
    <w:p w:rsidR="007B097D" w:rsidRPr="00695668" w:rsidRDefault="007B097D" w:rsidP="00695668">
      <w:pPr>
        <w:spacing w:before="100" w:beforeAutospacing="1" w:after="100" w:afterAutospacing="1" w:line="480" w:lineRule="auto"/>
        <w:jc w:val="center"/>
        <w:rPr>
          <w:rFonts w:ascii="Times New Roman" w:hAnsi="Times New Roman" w:cs="Times New Roman"/>
          <w:b/>
          <w:sz w:val="24"/>
          <w:szCs w:val="24"/>
        </w:rPr>
      </w:pPr>
      <w:r w:rsidRPr="00695668">
        <w:rPr>
          <w:rFonts w:ascii="Times New Roman" w:hAnsi="Times New Roman" w:cs="Times New Roman"/>
          <w:b/>
          <w:sz w:val="24"/>
          <w:szCs w:val="24"/>
        </w:rPr>
        <w:t>Results</w:t>
      </w:r>
    </w:p>
    <w:p w:rsidR="007B097D" w:rsidRPr="00695668" w:rsidRDefault="007B097D" w:rsidP="00695668">
      <w:pPr>
        <w:spacing w:before="100" w:beforeAutospacing="1" w:after="100" w:afterAutospacing="1" w:line="480" w:lineRule="auto"/>
        <w:rPr>
          <w:rFonts w:ascii="Times New Roman" w:hAnsi="Times New Roman" w:cs="Times New Roman"/>
          <w:sz w:val="24"/>
          <w:szCs w:val="24"/>
        </w:rPr>
      </w:pPr>
      <w:r w:rsidRPr="00695668">
        <w:rPr>
          <w:rFonts w:ascii="Times New Roman" w:hAnsi="Times New Roman" w:cs="Times New Roman"/>
          <w:sz w:val="24"/>
          <w:szCs w:val="24"/>
        </w:rPr>
        <w:tab/>
        <w:t xml:space="preserve">Mean VT cycle length ranged 310 plus or minus 53ms. When all the 67 VT cases and 47 control time series parameters were compared, the mean sinus rhythm cycle length </w:t>
      </w:r>
      <w:r w:rsidR="00695668" w:rsidRPr="00695668">
        <w:rPr>
          <w:rFonts w:ascii="Times New Roman" w:hAnsi="Times New Roman" w:cs="Times New Roman"/>
          <w:sz w:val="24"/>
          <w:szCs w:val="24"/>
        </w:rPr>
        <w:t>depicted difference; they</w:t>
      </w:r>
      <w:r w:rsidRPr="00695668">
        <w:rPr>
          <w:rFonts w:ascii="Times New Roman" w:hAnsi="Times New Roman" w:cs="Times New Roman"/>
          <w:sz w:val="24"/>
          <w:szCs w:val="24"/>
        </w:rPr>
        <w:t xml:space="preserve"> had significant shorter cycles </w:t>
      </w:r>
      <w:r w:rsidR="00695668" w:rsidRPr="00695668">
        <w:rPr>
          <w:rFonts w:ascii="Times New Roman" w:hAnsi="Times New Roman" w:cs="Times New Roman"/>
          <w:sz w:val="24"/>
          <w:szCs w:val="24"/>
        </w:rPr>
        <w:t>(</w:t>
      </w:r>
      <w:r w:rsidR="00695668" w:rsidRPr="00695668">
        <w:rPr>
          <w:rFonts w:ascii="Times New Roman" w:hAnsi="Times New Roman" w:cs="Times New Roman"/>
          <w:sz w:val="24"/>
          <w:szCs w:val="24"/>
        </w:rPr>
        <w:t>694.46138.1 ms</w:t>
      </w:r>
      <w:r w:rsidR="00695668" w:rsidRPr="00695668">
        <w:rPr>
          <w:rFonts w:ascii="Times New Roman" w:hAnsi="Times New Roman" w:cs="Times New Roman"/>
          <w:sz w:val="24"/>
          <w:szCs w:val="24"/>
        </w:rPr>
        <w:t xml:space="preserve">) compared to the control time series cases (760.86140.2 ms). </w:t>
      </w:r>
    </w:p>
    <w:p w:rsidR="00695668" w:rsidRPr="00695668" w:rsidRDefault="00695668" w:rsidP="00695668">
      <w:pPr>
        <w:spacing w:before="100" w:beforeAutospacing="1" w:after="100" w:afterAutospacing="1" w:line="480" w:lineRule="auto"/>
        <w:rPr>
          <w:rFonts w:ascii="Times New Roman" w:hAnsi="Times New Roman" w:cs="Times New Roman"/>
          <w:sz w:val="24"/>
          <w:szCs w:val="24"/>
        </w:rPr>
      </w:pPr>
      <w:r w:rsidRPr="00695668">
        <w:rPr>
          <w:rFonts w:ascii="Times New Roman" w:hAnsi="Times New Roman" w:cs="Times New Roman"/>
          <w:sz w:val="24"/>
          <w:szCs w:val="24"/>
        </w:rPr>
        <w:tab/>
      </w:r>
      <w:r w:rsidRPr="00695668">
        <w:rPr>
          <w:rFonts w:ascii="Times New Roman" w:hAnsi="Times New Roman" w:cs="Times New Roman"/>
          <w:sz w:val="24"/>
          <w:szCs w:val="24"/>
        </w:rPr>
        <w:t>Polvar10 and Fitgra9 had similar numeric as the fast VT time series. The small group sizes were likely responsible for the failure to identify statistical significance.</w:t>
      </w:r>
    </w:p>
    <w:p w:rsidR="004122CA" w:rsidRPr="00695668" w:rsidRDefault="004122CA" w:rsidP="00695668">
      <w:pPr>
        <w:spacing w:before="100" w:beforeAutospacing="1" w:after="100" w:afterAutospacing="1" w:line="480" w:lineRule="auto"/>
        <w:jc w:val="center"/>
        <w:rPr>
          <w:rFonts w:ascii="Times New Roman" w:hAnsi="Times New Roman" w:cs="Times New Roman"/>
          <w:b/>
          <w:sz w:val="24"/>
          <w:szCs w:val="24"/>
        </w:rPr>
      </w:pPr>
      <w:r w:rsidRPr="00695668">
        <w:rPr>
          <w:rFonts w:ascii="Times New Roman" w:hAnsi="Times New Roman" w:cs="Times New Roman"/>
          <w:b/>
          <w:sz w:val="24"/>
          <w:szCs w:val="24"/>
        </w:rPr>
        <w:t>References</w:t>
      </w:r>
    </w:p>
    <w:p w:rsidR="00EF25E8" w:rsidRPr="00695668" w:rsidRDefault="004122CA" w:rsidP="00695668">
      <w:pPr>
        <w:spacing w:before="100" w:beforeAutospacing="1" w:after="100" w:afterAutospacing="1" w:line="480" w:lineRule="auto"/>
        <w:rPr>
          <w:rFonts w:ascii="Times New Roman" w:hAnsi="Times New Roman" w:cs="Times New Roman"/>
          <w:sz w:val="24"/>
          <w:szCs w:val="24"/>
        </w:rPr>
      </w:pPr>
      <w:r w:rsidRPr="00695668">
        <w:rPr>
          <w:rFonts w:ascii="Times New Roman" w:hAnsi="Times New Roman" w:cs="Times New Roman"/>
          <w:sz w:val="24"/>
          <w:szCs w:val="24"/>
        </w:rPr>
        <w:t>Berger MD, Waxman HL, Buxton AE et al. Spontaneous compared cerning age, sex, and heart disease. Thus, these with induced onset of ventricular tachycardia. Circulation 1988</w:t>
      </w:r>
      <w:r w:rsidRPr="00695668">
        <w:rPr>
          <w:rFonts w:ascii="Times New Roman" w:hAnsi="Times New Roman" w:cs="Times New Roman"/>
          <w:sz w:val="24"/>
          <w:szCs w:val="24"/>
        </w:rPr>
        <w:t>; 78P:885</w:t>
      </w:r>
      <w:r w:rsidRPr="00695668">
        <w:rPr>
          <w:rFonts w:ascii="Times New Roman" w:hAnsi="Times New Roman" w:cs="Times New Roman"/>
          <w:sz w:val="24"/>
          <w:szCs w:val="24"/>
        </w:rPr>
        <w:t>–92.</w:t>
      </w:r>
      <w:r w:rsidRPr="00695668">
        <w:rPr>
          <w:rFonts w:ascii="Times New Roman" w:hAnsi="Times New Roman" w:cs="Times New Roman"/>
          <w:sz w:val="24"/>
          <w:szCs w:val="24"/>
        </w:rPr>
        <w:t xml:space="preserve"> </w:t>
      </w:r>
    </w:p>
    <w:p w:rsidR="009A1D14" w:rsidRPr="00695668" w:rsidRDefault="009A1D14" w:rsidP="00695668">
      <w:pPr>
        <w:spacing w:before="100" w:beforeAutospacing="1" w:after="100" w:afterAutospacing="1" w:line="480" w:lineRule="auto"/>
        <w:rPr>
          <w:rFonts w:ascii="Times New Roman" w:hAnsi="Times New Roman" w:cs="Times New Roman"/>
          <w:sz w:val="24"/>
          <w:szCs w:val="24"/>
        </w:rPr>
      </w:pPr>
      <w:r w:rsidRPr="00695668">
        <w:rPr>
          <w:rFonts w:ascii="Times New Roman" w:hAnsi="Times New Roman" w:cs="Times New Roman"/>
          <w:sz w:val="24"/>
          <w:szCs w:val="24"/>
        </w:rPr>
        <w:t xml:space="preserve">Lombardi F, Porta A, Marzegalli M et al. Heart rate variability </w:t>
      </w:r>
      <w:r w:rsidRPr="00695668">
        <w:rPr>
          <w:rFonts w:ascii="Times New Roman" w:hAnsi="Times New Roman" w:cs="Times New Roman"/>
          <w:sz w:val="24"/>
          <w:szCs w:val="24"/>
        </w:rPr>
        <w:t>patterns</w:t>
      </w:r>
      <w:r w:rsidRPr="00695668">
        <w:rPr>
          <w:rFonts w:ascii="Times New Roman" w:hAnsi="Times New Roman" w:cs="Times New Roman"/>
          <w:sz w:val="24"/>
          <w:szCs w:val="24"/>
        </w:rPr>
        <w:t xml:space="preserve"> before ventricular tachyca</w:t>
      </w:r>
      <w:r w:rsidRPr="00695668">
        <w:rPr>
          <w:rFonts w:ascii="Times New Roman" w:hAnsi="Times New Roman" w:cs="Times New Roman"/>
          <w:sz w:val="24"/>
          <w:szCs w:val="24"/>
        </w:rPr>
        <w:t xml:space="preserve">rdia onset in patients with an </w:t>
      </w:r>
      <w:r w:rsidRPr="00695668">
        <w:rPr>
          <w:rFonts w:ascii="Times New Roman" w:hAnsi="Times New Roman" w:cs="Times New Roman"/>
          <w:sz w:val="24"/>
          <w:szCs w:val="24"/>
        </w:rPr>
        <w:t>implantable cardioverter defibrillator. Am J Cardiol 2000</w:t>
      </w:r>
      <w:r w:rsidRPr="00695668">
        <w:rPr>
          <w:rFonts w:ascii="Times New Roman" w:hAnsi="Times New Roman" w:cs="Times New Roman"/>
          <w:sz w:val="24"/>
          <w:szCs w:val="24"/>
        </w:rPr>
        <w:t>; 86:959</w:t>
      </w:r>
      <w:r w:rsidRPr="00695668">
        <w:rPr>
          <w:rFonts w:ascii="Times New Roman" w:hAnsi="Times New Roman" w:cs="Times New Roman"/>
          <w:sz w:val="24"/>
          <w:szCs w:val="24"/>
        </w:rPr>
        <w:t>–63.</w:t>
      </w:r>
    </w:p>
    <w:p w:rsidR="002569FB" w:rsidRPr="00695668" w:rsidRDefault="002569FB" w:rsidP="00695668">
      <w:pPr>
        <w:spacing w:before="100" w:beforeAutospacing="1" w:after="100" w:afterAutospacing="1" w:line="480" w:lineRule="auto"/>
        <w:rPr>
          <w:rFonts w:ascii="Times New Roman" w:hAnsi="Times New Roman" w:cs="Times New Roman"/>
          <w:sz w:val="24"/>
          <w:szCs w:val="24"/>
        </w:rPr>
      </w:pPr>
    </w:p>
    <w:sectPr w:rsidR="002569FB" w:rsidRPr="00695668" w:rsidSect="006956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5027" w:rsidRDefault="00AE5027" w:rsidP="00695668">
      <w:pPr>
        <w:spacing w:after="0" w:line="240" w:lineRule="auto"/>
      </w:pPr>
      <w:r>
        <w:separator/>
      </w:r>
    </w:p>
  </w:endnote>
  <w:endnote w:type="continuationSeparator" w:id="0">
    <w:p w:rsidR="00AE5027" w:rsidRDefault="00AE5027" w:rsidP="00695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5027" w:rsidRDefault="00AE5027" w:rsidP="00695668">
      <w:pPr>
        <w:spacing w:after="0" w:line="240" w:lineRule="auto"/>
      </w:pPr>
      <w:r>
        <w:separator/>
      </w:r>
    </w:p>
  </w:footnote>
  <w:footnote w:type="continuationSeparator" w:id="0">
    <w:p w:rsidR="00AE5027" w:rsidRDefault="00AE5027" w:rsidP="006956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668" w:rsidRPr="00695668" w:rsidRDefault="00695668" w:rsidP="00695668">
    <w:pPr>
      <w:pStyle w:val="Header"/>
      <w:spacing w:before="100" w:beforeAutospacing="1" w:after="100" w:afterAutospacing="1" w:line="480" w:lineRule="auto"/>
      <w:rPr>
        <w:rFonts w:ascii="Times New Roman" w:hAnsi="Times New Roman" w:cs="Times New Roman"/>
        <w:sz w:val="24"/>
        <w:szCs w:val="24"/>
      </w:rPr>
    </w:pPr>
    <w:r w:rsidRPr="00695668">
      <w:rPr>
        <w:rFonts w:ascii="Times New Roman" w:hAnsi="Times New Roman" w:cs="Times New Roman"/>
        <w:sz w:val="24"/>
        <w:szCs w:val="24"/>
      </w:rPr>
      <w:t xml:space="preserve">HEART RATE VARIABILITY </w:t>
    </w:r>
    <w:r>
      <w:rPr>
        <w:rFonts w:ascii="Times New Roman" w:hAnsi="Times New Roman" w:cs="Times New Roman"/>
        <w:sz w:val="24"/>
        <w:szCs w:val="24"/>
      </w:rPr>
      <w:t xml:space="preserve">BEFORE THE ONSET OF VENTRICULAR </w:t>
    </w:r>
    <w:r w:rsidRPr="00695668">
      <w:rPr>
        <w:rFonts w:ascii="Times New Roman" w:hAnsi="Times New Roman" w:cs="Times New Roman"/>
        <w:sz w:val="24"/>
        <w:szCs w:val="24"/>
      </w:rPr>
      <w:t>TACHYCARDIA</w:t>
    </w:r>
    <w:r>
      <w:rPr>
        <w:rFonts w:ascii="Times New Roman" w:hAnsi="Times New Roman" w:cs="Times New Roman"/>
        <w:sz w:val="24"/>
        <w:szCs w:val="24"/>
      </w:rPr>
      <w:tab/>
    </w:r>
    <w:r>
      <w:rPr>
        <w:rFonts w:ascii="Times New Roman" w:hAnsi="Times New Roman" w:cs="Times New Roman"/>
        <w:sz w:val="24"/>
        <w:szCs w:val="24"/>
      </w:rPr>
      <w:tab/>
    </w:r>
    <w:sdt>
      <w:sdtPr>
        <w:id w:val="-307788516"/>
        <w:docPartObj>
          <w:docPartGallery w:val="Page Numbers (Top of Page)"/>
          <w:docPartUnique/>
        </w:docPartObj>
      </w:sdtPr>
      <w:sdtEndPr>
        <w:rPr>
          <w:rFonts w:ascii="Times New Roman" w:hAnsi="Times New Roman" w:cs="Times New Roman"/>
          <w:noProof/>
          <w:sz w:val="24"/>
          <w:szCs w:val="24"/>
        </w:rPr>
      </w:sdtEndPr>
      <w:sdtContent>
        <w:r w:rsidRPr="00695668">
          <w:rPr>
            <w:rFonts w:ascii="Times New Roman" w:hAnsi="Times New Roman" w:cs="Times New Roman"/>
            <w:sz w:val="24"/>
            <w:szCs w:val="24"/>
          </w:rPr>
          <w:fldChar w:fldCharType="begin"/>
        </w:r>
        <w:r w:rsidRPr="00695668">
          <w:rPr>
            <w:rFonts w:ascii="Times New Roman" w:hAnsi="Times New Roman" w:cs="Times New Roman"/>
            <w:sz w:val="24"/>
            <w:szCs w:val="24"/>
          </w:rPr>
          <w:instrText xml:space="preserve"> PAGE   \* MERGEFORMAT </w:instrText>
        </w:r>
        <w:r w:rsidRPr="00695668">
          <w:rPr>
            <w:rFonts w:ascii="Times New Roman" w:hAnsi="Times New Roman" w:cs="Times New Roman"/>
            <w:sz w:val="24"/>
            <w:szCs w:val="24"/>
          </w:rPr>
          <w:fldChar w:fldCharType="separate"/>
        </w:r>
        <w:r>
          <w:rPr>
            <w:rFonts w:ascii="Times New Roman" w:hAnsi="Times New Roman" w:cs="Times New Roman"/>
            <w:noProof/>
            <w:sz w:val="24"/>
            <w:szCs w:val="24"/>
          </w:rPr>
          <w:t>2</w:t>
        </w:r>
        <w:r w:rsidRPr="00695668">
          <w:rPr>
            <w:rFonts w:ascii="Times New Roman" w:hAnsi="Times New Roman" w:cs="Times New Roman"/>
            <w:noProof/>
            <w:sz w:val="24"/>
            <w:szCs w:val="24"/>
          </w:rPr>
          <w:fldChar w:fldCharType="end"/>
        </w:r>
      </w:sdtContent>
    </w:sdt>
  </w:p>
  <w:p w:rsidR="00695668" w:rsidRDefault="006956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668" w:rsidRPr="00695668" w:rsidRDefault="00695668" w:rsidP="00695668">
    <w:pPr>
      <w:pStyle w:val="Heade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695668">
      <w:rPr>
        <w:rFonts w:ascii="Times New Roman" w:hAnsi="Times New Roman" w:cs="Times New Roman"/>
        <w:sz w:val="24"/>
        <w:szCs w:val="24"/>
      </w:rPr>
      <w:t>HEART RATE VARIABILITY BEFORE THE ONSET OF VENTRICULAR TACHYCARDIA</w:t>
    </w:r>
    <w:r>
      <w:rPr>
        <w:rFonts w:ascii="Times New Roman" w:hAnsi="Times New Roman" w:cs="Times New Roman"/>
        <w:sz w:val="24"/>
        <w:szCs w:val="24"/>
      </w:rPr>
      <w:tab/>
    </w:r>
    <w:r>
      <w:rPr>
        <w:rFonts w:ascii="Times New Roman" w:hAnsi="Times New Roman" w:cs="Times New Roman"/>
        <w:sz w:val="24"/>
        <w:szCs w:val="24"/>
      </w:rPr>
      <w:tab/>
    </w:r>
    <w:sdt>
      <w:sdtPr>
        <w:id w:val="1398482607"/>
        <w:docPartObj>
          <w:docPartGallery w:val="Page Numbers (Top of Page)"/>
          <w:docPartUnique/>
        </w:docPartObj>
      </w:sdtPr>
      <w:sdtEndPr>
        <w:rPr>
          <w:rFonts w:ascii="Times New Roman" w:hAnsi="Times New Roman" w:cs="Times New Roman"/>
          <w:noProof/>
          <w:sz w:val="24"/>
          <w:szCs w:val="24"/>
        </w:rPr>
      </w:sdtEndPr>
      <w:sdtContent>
        <w:r w:rsidRPr="00695668">
          <w:rPr>
            <w:rFonts w:ascii="Times New Roman" w:hAnsi="Times New Roman" w:cs="Times New Roman"/>
            <w:sz w:val="24"/>
            <w:szCs w:val="24"/>
          </w:rPr>
          <w:fldChar w:fldCharType="begin"/>
        </w:r>
        <w:r w:rsidRPr="00695668">
          <w:rPr>
            <w:rFonts w:ascii="Times New Roman" w:hAnsi="Times New Roman" w:cs="Times New Roman"/>
            <w:sz w:val="24"/>
            <w:szCs w:val="24"/>
          </w:rPr>
          <w:instrText xml:space="preserve"> PAGE   \* MERGEFORMAT </w:instrText>
        </w:r>
        <w:r w:rsidRPr="00695668">
          <w:rPr>
            <w:rFonts w:ascii="Times New Roman" w:hAnsi="Times New Roman" w:cs="Times New Roman"/>
            <w:sz w:val="24"/>
            <w:szCs w:val="24"/>
          </w:rPr>
          <w:fldChar w:fldCharType="separate"/>
        </w:r>
        <w:r>
          <w:rPr>
            <w:rFonts w:ascii="Times New Roman" w:hAnsi="Times New Roman" w:cs="Times New Roman"/>
            <w:noProof/>
            <w:sz w:val="24"/>
            <w:szCs w:val="24"/>
          </w:rPr>
          <w:t>1</w:t>
        </w:r>
        <w:r w:rsidRPr="0069566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000"/>
    <w:rsid w:val="000A1236"/>
    <w:rsid w:val="002569FB"/>
    <w:rsid w:val="004122CA"/>
    <w:rsid w:val="00695668"/>
    <w:rsid w:val="007B097D"/>
    <w:rsid w:val="007D4882"/>
    <w:rsid w:val="009A1D14"/>
    <w:rsid w:val="00AE5027"/>
    <w:rsid w:val="00D17000"/>
    <w:rsid w:val="00D44E8B"/>
    <w:rsid w:val="00E170FA"/>
    <w:rsid w:val="00EF2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1004E3-5BC4-4292-9A11-174B92870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6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668"/>
  </w:style>
  <w:style w:type="paragraph" w:styleId="Footer">
    <w:name w:val="footer"/>
    <w:basedOn w:val="Normal"/>
    <w:link w:val="FooterChar"/>
    <w:uiPriority w:val="99"/>
    <w:unhideWhenUsed/>
    <w:rsid w:val="006956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6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4</Pages>
  <Words>413</Words>
  <Characters>2357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2018-10-29T08:22:00Z</dcterms:created>
  <dcterms:modified xsi:type="dcterms:W3CDTF">2018-10-29T10:33:00Z</dcterms:modified>
</cp:coreProperties>
</file>